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t>L Hazard Store</w:t>
      </w:r>
    </w:p>
    <w:p>
      <w:pPr>
        <w:pStyle w:val="Subtitle"/>
      </w:pPr>
      <w:r>
        <w:t>পরিচালনা ও পরবর্তী কাজের নির্দেশিকা</w:t>
      </w:r>
    </w:p>
    <w:p>
      <w:r>
        <w:rPr>
          <w:b w:val="0"/>
        </w:rPr>
        <w:t>মালিক ও দায়িত্বপ্রাপ্ত কর্মীর জন্য | হালনাগাদ ২৮ সেপ্টেম্বর ২০২৬</w:t>
      </w:r>
    </w:p>
    <w:p>
      <w:r>
        <w:rPr>
          <w:b w:val="0"/>
        </w:rPr>
        <w:t>এই নির্দেশিকায় প্রয়োজনীয় ওয়েবসাইট ও প্যানেলের লিংক, লগইনের নিয়ম, ইমেইলের ব্যবস্থা, API সংযোগের জায়গা এবং পরবর্তী কাজের দায়িত্ব একসঙ্গে দেওয়া হয়েছে। নীল লিংকে ক্লিক করে সংশ্লিষ্ট পেজ খুলতে পারবেন।</w:t>
      </w:r>
    </w:p>
    <w:p>
      <w:r>
        <w:rPr>
          <w:b/>
        </w:rPr>
        <w:t>মূল সিদ্ধান্ত: স্টোর, ব্যবস্থাপনা প্যানেল ও AI সহকারী চালু আছে। বাস্তব অনলাইন বিক্রয় চালু করতে অনুমোদিত পণ্য, পার্টনার সংযোগ ও লেনদেনের পরীক্ষা সম্পন্ন করতে হবে।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5" w:type="dxa"/>
          <w:right w:w="95" w:type="dxa"/>
        </w:tblCellMar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বিষয়</w:t>
            </w:r>
          </w:p>
        </w:tc>
        <w:tc>
          <w:tcPr>
            <w:tcW w:type="dxa" w:w="6552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বর্তমান অবস্থা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কোম্পানি ও স্টোর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L Hazard Store হলো L HAZARD LTD এর প্ল্যাটফর্ম। মাদার কোম্পানি lhazardltd.com।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প্রস্তুত সুবিধা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ওয়েবসাইট, কোম্পানি ও প্রতিষ্ঠাতার পরিচিতি, নীতিমালা, যোগাযোগ, Admin ও CEO, Global B2B এবং B2C কাঠামো।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AI সহকারী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OpenAI সংযুক্ত। ২৩ সেপ্টেম্বর বাংলা ও ইংরেজিতে বাস্তব উত্তর পরীক্ষা সফল; ২৮ সেপ্টেম্বর কনফিগারেশন সক্রিয় পাওয়া গেছে।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বিক্রয় ও পেমেন্ট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ক্যাটালগ নমুনা। বাস্তব checkout, payment collection ও seller payout বন্ধ।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সার্ভার যাচাই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২৮ সেপ্টেম্বর ১৮:০৭ বাংলাদেশ সময়: ১৫টি গুরুত্বপূর্ণ ওয়েব ঠিকানায় সাড়া; ১২টি অ্যাপ সার্ভিস healthy; সর্বশেষ স্বাস্থ্য পরীক্ষায় ২৮টি check PASS।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মেইল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মূল ইনবক্স ও ৮টি alias আগের রেকর্ডে তৈরি। প্ল্যানের নবায়ন ও বাস্তব delivery আবার নিশ্চিত করতে হবে।</w:t>
            </w:r>
          </w:p>
        </w:tc>
      </w:tr>
    </w:tbl>
    <w:p>
      <w:pPr>
        <w:spacing w:after="0"/>
      </w:pPr>
    </w:p>
    <w:p>
      <w:pPr>
        <w:pStyle w:val="Heading2"/>
      </w:pPr>
      <w:r>
        <w:t>আগে এই তিনটি কাজ করুন</w:t>
      </w:r>
    </w:p>
    <w:p>
      <w:r>
        <w:rPr>
          <w:b w:val="0"/>
        </w:rPr>
        <w:t>1. CEO প্যানেলে নিজের অ্যাকাউন্ট দিয়ে প্রবেশ করুন; Account security পরীক্ষা করুন।</w:t>
      </w:r>
    </w:p>
    <w:p>
      <w:r>
        <w:rPr>
          <w:b w:val="0"/>
        </w:rPr>
        <w:t>2. Hostinger-এ ইমেইল প্ল্যানের বর্তমান মেয়াদ ও inbox যাচাই করুন।</w:t>
      </w:r>
    </w:p>
    <w:p>
      <w:r>
        <w:rPr>
          <w:b w:val="0"/>
        </w:rPr>
        <w:t>3. প্রথম চালুর দেশ, পণ্য, পার্টনার ও দায়িত্বপ্রাপ্ত কর্মী নির্ধারণ করুন।</w:t>
      </w:r>
    </w:p>
    <w:p>
      <w:pPr>
        <w:pStyle w:val="Heading2"/>
      </w:pPr>
      <w:r>
        <w:t>এই নির্দেশিকা যেভাবে পড়বেন</w:t>
      </w:r>
    </w:p>
    <w:p>
      <w:r>
        <w:rPr>
          <w:b w:val="0"/>
        </w:rPr>
        <w:t>২ নম্বর পাতায় পাবলিক লিংক; ৩ নম্বরে CEO ও অ্যাকাউন্ট; ৪–৫ নম্বরে সব Admin বিভাগ; ৬ নম্বরে মেইল; ৭–৮ নম্বরে API; ৯ নম্বরে AI ও হোস্টিং; ১০ নম্বরে দায়িত্ব; ১১ নম্বরে পরিচালনা ও হস্তান্তর।</w:t>
      </w:r>
    </w:p>
    <w:p>
      <w:r>
        <w:rPr>
          <w:b w:val="0"/>
        </w:rPr>
        <w:t>লিংক খুললে লগইন চাইতে পারে। একটি পেজের অস্তিত্ব বা HTTP 200 পাওয়া মানেই সেই বিভাগের বাস্তব বাণিজ্যিক সেবা চালু নয়।</w:t>
      </w:r>
    </w:p>
    <w:p>
      <w:r>
        <w:br w:type="page"/>
      </w:r>
    </w:p>
    <w:p>
      <w:pPr>
        <w:pStyle w:val="Heading1"/>
      </w:pPr>
      <w:r>
        <w:t>ওয়েবসাইট ও গ্রাহকের পেজ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5" w:type="dxa"/>
          <w:right w:w="95" w:type="dxa"/>
        </w:tblCellMar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কোথায় যাবেন</w:t>
            </w:r>
          </w:p>
        </w:tc>
        <w:tc>
          <w:tcPr>
            <w:tcW w:type="dxa" w:w="6552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ক্লিকযোগ্য লিংক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মাদার কোম্পানি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9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https://lhazardltd.com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মূল স্টোর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10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WWW ঠিকানা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11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https://www.lhazardstore.com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সাধারণ লগইন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12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https://lhazardstore.com/auth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পণ্যের নমুনা ক্যাটালগ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13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https://lhazardstore.com/#catalogue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B2B ক্রেতার RFQ ও কোটেশন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14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https://lhazardstore.com/rfqs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B2C রিটেইল পেজ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15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https://lhazardstore.com/retail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Seller ও Supplier পোর্টাল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16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https://lhazardstore.com/portal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কোম্পানির পরিচিতি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17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https://lhazardstore.com/about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প্রতিষ্ঠাতার ছবি ও জীবনী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18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https://lhazardstore.com/about#founder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যোগাযোগ ও enquiry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19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https://lhazardstore.com/contact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পার্টনারশিপের যোগাযোগ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20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https://lhazardstore.com/contact?department=partners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Terms and Conditions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21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https://lhazardstore.com/terms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Privacy Notice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22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https://lhazardstore.com/privacy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Returns and Cancellation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23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https://lhazardstore.com/returns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Cookie Policy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24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https://lhazardstore.com/cookies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Accessibility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25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https://lhazardstore.com/accessibility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সাইটের পেজ তালিকা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26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https://lhazardstore.com/sitemap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>গ্রাহকের জন্য ব্যবহার</w:t>
      </w:r>
    </w:p>
    <w:p>
      <w:r>
        <w:rPr>
          <w:b w:val="0"/>
        </w:rPr>
        <w:t>1. ওয়েবসাইটে এসে ক্যাটালগের নমুনা দেখবেন; এখন নমুনা দেখে অর্থ প্রদান বা অর্ডার করবেন না।</w:t>
      </w:r>
    </w:p>
    <w:p>
      <w:r>
        <w:rPr>
          <w:b w:val="0"/>
        </w:rPr>
        <w:t>2. B2B ক্রেতা, retail customer, seller ও supplier নিজেদের অনুমোদিত অ্যাকাউন্টে লগইন করবেন।</w:t>
      </w:r>
    </w:p>
    <w:p>
      <w:r>
        <w:rPr>
          <w:b w:val="0"/>
        </w:rPr>
        <w:t>3. প্রশ্নের জন্য “Need a hand?” খুলবেন। AI ব্যবহার করতে সম্মতির অপশন চালু করবেন; বাংলা বেছে নেওয়া যায়।</w:t>
      </w:r>
    </w:p>
    <w:p>
      <w:r>
        <w:rPr>
          <w:b w:val="0"/>
        </w:rPr>
        <w:t>Global লেখা হলো পরিকল্পিত পরিচালনার পরিধি। সব দেশে সরবরাহ, পেমেন্ট বা বিক্রির অনুমোদন ইতিমধ্যে আছে—এমন অর্থ নয়।</w:t>
      </w:r>
    </w:p>
    <w:p>
      <w:r>
        <w:br w:type="page"/>
      </w:r>
    </w:p>
    <w:p>
      <w:pPr>
        <w:pStyle w:val="Heading1"/>
      </w:pPr>
      <w:r>
        <w:t>CEO প্যানেল ও অ্যাকাউন্ট তৈরি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5" w:type="dxa"/>
          <w:right w:w="95" w:type="dxa"/>
        </w:tblCellMar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ব্যবহার</w:t>
            </w:r>
          </w:p>
        </w:tc>
        <w:tc>
          <w:tcPr>
            <w:tcW w:type="dxa" w:w="6552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লিংক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CEO মূল প্যানেল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27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https://ceo.lhazardstore.com/executive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Global ব্যবসা ও API Vault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28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https://ceo.lhazardstore.com/executive/global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নতুন অ্যাকাউন্ট ও গ্রুপ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29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https://lhazardstore.com/executive/accounts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Payment partner তদারকি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30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https://ceo.lhazardstore.com/executive/payment-partners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Logistics partner তদারকি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31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https://ceo.lhazardstore.com/executive/logistics-partners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Commerce ও digital partner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32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https://ceo.lhazardstore.com/executive/commerce-partners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নিজের Account security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33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https://lhazardstore.com/account-security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Admin Global প্যানেল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34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https://admin.lhazardstore.com/console/global</w:t>
              </w:r>
            </w:hyperlink>
          </w:p>
        </w:tc>
      </w:tr>
    </w:tbl>
    <w:p>
      <w:pPr>
        <w:spacing w:after="0"/>
      </w:pPr>
    </w:p>
    <w:p>
      <w:r>
        <w:rPr>
          <w:b w:val="0"/>
        </w:rPr>
        <w:t>নির্ধারিত দুই Owner ও Admin পরিচয়: lipu@lhazard.com এবং murshidalamlipu@gmail.com। এগুলো অ্যাপের পরিচয়; Hostinger, Coolify ও মেইলের লগইন আলাদা। পাসওয়ার্ড এই নথিতে রাখা হয়নি।</w:t>
      </w:r>
    </w:p>
    <w:p>
      <w:pPr>
        <w:pStyle w:val="Heading2"/>
      </w:pPr>
      <w:r>
        <w:t>নিজের লগইন ও নিরাপত্তা</w:t>
      </w:r>
    </w:p>
    <w:p>
      <w:r>
        <w:rPr>
          <w:b w:val="0"/>
        </w:rPr>
        <w:t>1. CEO লিংক খুলে নিজের নির্ধারিত ইমেইল ও পাসওয়ার্ড দিন। অন্য subdomain-এ গেলে আলাদা করে লগইন চাইতে পারে।</w:t>
      </w:r>
    </w:p>
    <w:p>
      <w:r>
        <w:rPr>
          <w:b w:val="0"/>
        </w:rPr>
        <w:t>2. Authenticator আগে যুক্ত থাকলে নিজের ফোনের বর্তমান code দিন। না থাকলে Account security থেকে setup করে code verify করুন।</w:t>
      </w:r>
    </w:p>
    <w:p>
      <w:r>
        <w:rPr>
          <w:b w:val="0"/>
        </w:rPr>
        <w:t>3. সম্ভব হলে দ্বিতীয় authenticator device যুক্ত করুন। এই বাস্তবায়নে recovery code নেই; নিজের code বা QR কারও কাছে পাঠাবেন না।</w:t>
      </w:r>
    </w:p>
    <w:p>
      <w:pPr>
        <w:pStyle w:val="Heading2"/>
      </w:pPr>
      <w:r>
        <w:t>কর্মী ও ব্যবহারকারী যোগ করার ধাপ</w:t>
      </w:r>
    </w:p>
    <w:p>
      <w:r>
        <w:rPr>
          <w:b w:val="0"/>
        </w:rPr>
        <w:t>1. CEO → Accounts &amp; groups খুলুন; নতুন ব্যক্তির ইমেইল ও সঠিক group নির্বাচন করুন।</w:t>
      </w:r>
    </w:p>
    <w:p>
      <w:r>
        <w:rPr>
          <w:b w:val="0"/>
        </w:rPr>
        <w:t>2. ব্যবসায়িক ক্রেতা: business_buyer; retail: retail_customer; seller: seller; supplier: supplier। কর্মীর জন্য admin, operations, compliance বা support বাছুন।</w:t>
      </w:r>
    </w:p>
    <w:p>
      <w:r>
        <w:rPr>
          <w:b w:val="0"/>
        </w:rPr>
        <w:t>3. অ্যাকাউন্ট তৈরি হলে একবার ব্যবহারযোগ্য invitation link পাবেন। শুধু সেই ব্যক্তিকে ব্যক্তিগতভাবে দিন; এখন স্বয়ংক্রিয় ইমেইল পাঠানো হয় না।</w:t>
      </w:r>
    </w:p>
    <w:p>
      <w:r>
        <w:rPr>
          <w:b w:val="0"/>
        </w:rPr>
        <w:t>4. ব্যক্তি লিংক খুলে নিজে পাসওয়ার্ড বসাবেন। শেষে তার নিজের অনুমতি দিয়ে সঠিক প্যানেল খোলে কি না পরীক্ষা করুন।</w:t>
      </w:r>
    </w:p>
    <w:p>
      <w:r>
        <w:rPr>
          <w:b w:val="0"/>
        </w:rPr>
        <w:t>এই ফর্ম নতুন CEO বানায় না এবং বিদ্যমান অ্যাকাউন্টের পাসওয়ার্ড reset করে না। শুধু group তৈরি করলে স্বয়ংক্রিয়ভাবে কোনো প্রতিষ্ঠানের membership বা supplier approval তৈরি হয় না।</w:t>
      </w:r>
    </w:p>
    <w:p>
      <w:r>
        <w:br w:type="page"/>
      </w:r>
    </w:p>
    <w:p>
      <w:pPr>
        <w:pStyle w:val="Heading1"/>
      </w:pPr>
      <w:r>
        <w:t>Admin প্যানেলের দৈনন্দিন বিভাগ</w:t>
      </w:r>
    </w:p>
    <w:p>
      <w:r>
        <w:rPr>
          <w:b w:val="0"/>
        </w:rPr>
        <w:t>নিচের ঠিকানাগুলো একই Admin-এর আলাদা বিভাগ। প্রয়োজনীয় staff role থাকলে খুলবে। যেখানে বাস্তব তথ্য এখনো নেই, সেখানে খালি বা নমুনা রেকর্ড থাকা স্বাভাবিক।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5" w:type="dxa"/>
          <w:right w:w="95" w:type="dxa"/>
        </w:tblCellMar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19"/>
                <w:szCs w:val="19"/>
                <w:lang w:val="bn-BD" w:bidi="bn-BD"/>
              </w:rPr>
              <w:t>বিভাগ ও উদ্দেশ্য</w:t>
            </w:r>
          </w:p>
        </w:tc>
        <w:tc>
          <w:tcPr>
            <w:tcW w:type="dxa" w:w="6552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19"/>
                <w:szCs w:val="19"/>
                <w:lang w:val="bn-BD" w:bidi="bn-BD"/>
              </w:rPr>
              <w:t>লিংক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মূল সারসংক্ষেপ</w:t>
              <w:br/>
              <w:t>সার্বিক অবস্থা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35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Global ব্যবসা</w:t>
              <w:br/>
              <w:t>B2B B2C ও Vault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34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https://admin.lhazardstore.com/console/global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RFQ desk</w:t>
              <w:br/>
              <w:t>ক্রেতার চাহিদা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36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https://admin.lhazardstore.com/console/rfqs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Admissions</w:t>
              <w:br/>
              <w:t>প্রবেশ ও অনুমোদনের সারি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37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https://admin.lhazardstore.com/console/admissions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Suppliers</w:t>
              <w:br/>
              <w:t>সরবরাহকারী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38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https://admin.lhazardstore.com/console/suppliers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Sellers and KYB</w:t>
              <w:br/>
              <w:t>বিক্রেতার পরিচয়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39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https://admin.lhazardstore.com/console/sellers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Buyers</w:t>
              <w:br/>
              <w:t>ক্রেতার রেকর্ড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40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https://admin.lhazardstore.com/console/buyers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Compliance queue</w:t>
              <w:br/>
              <w:t>পর্যালোচনার কাজ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41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https://admin.lhazardstore.com/console/compliance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Products and SKUs</w:t>
              <w:br/>
              <w:t>পণ্য ও SKU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42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https://admin.lhazardstore.com/console/products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Safety and recalls</w:t>
              <w:br/>
              <w:t>পণ্যের নিরাপত্তা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43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https://admin.lhazardstore.com/console/incidents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Parent orders</w:t>
              <w:br/>
              <w:t>মূল অর্ডার রেকর্ড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44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https://admin.lhazardstore.com/console/orders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Seller sub orders</w:t>
              <w:br/>
              <w:t>বিক্রেতাভিত্তিক অংশ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45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https://admin.lhazardstore.com/console/sub-orders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Payments sandbox</w:t>
              <w:br/>
              <w:t>পরীক্ষামূলক পেমেন্ট রেকর্ড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46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https://admin.lhazardstore.com/console/payments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Shipping and tracking</w:t>
              <w:br/>
              <w:t>ডেলিভারি রেকর্ড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47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https://admin.lhazardstore.com/console/shipping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Returns</w:t>
              <w:br/>
              <w:t>ফেরতের রেকর্ড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48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https://admin.lhazardstore.com/console/returns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Refunds</w:t>
              <w:br/>
              <w:t>অর্থ ফেরতের রেকর্ড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49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https://admin.lhazardstore.com/console/refunds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Disputes</w:t>
              <w:br/>
              <w:t>বিরোধের রেকর্ড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50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https://admin.lhazardstore.com/console/disputes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Tax and customs</w:t>
              <w:br/>
              <w:t>কর ও কাস্টমস রেকর্ড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51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https://admin.lhazardstore.com/console/tax</w:t>
              </w:r>
            </w:hyperlink>
          </w:p>
        </w:tc>
      </w:tr>
    </w:tbl>
    <w:p>
      <w:pPr>
        <w:spacing w:after="0"/>
      </w:pPr>
    </w:p>
    <w:p>
      <w:r>
        <w:br w:type="page"/>
      </w:r>
    </w:p>
    <w:p>
      <w:pPr>
        <w:pStyle w:val="Heading1"/>
      </w:pPr>
      <w:r>
        <w:t>Admin এর সংযোগ ও নিয়ন্ত্রণ বিভাগ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5" w:type="dxa"/>
          <w:right w:w="95" w:type="dxa"/>
        </w:tblCellMar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বিভাগ</w:t>
            </w:r>
          </w:p>
        </w:tc>
        <w:tc>
          <w:tcPr>
            <w:tcW w:type="dxa" w:w="6552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লিংক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Payment partners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52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https://admin.lhazardstore.com/console/payment-partners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Logistics partners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53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https://admin.lhazardstore.com/console/logistics-partners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Commerce and digital partners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54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https://admin.lhazardstore.com/console/commerce-partners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Markets and countries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55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https://admin.lhazardstore.com/console/markets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Integrations and API registry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56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https://admin.lhazardstore.com/console/integrations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Launch switches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57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https://admin.lhazardstore.com/console/controls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API and webhook log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58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https://admin.lhazardstore.com/console/webhooks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Security and roles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59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https://admin.lhazardstore.com/console/security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Deployment status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60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https://admin.lhazardstore.com/console/deployment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Compliance register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61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https://admin.lhazardstore.com/console/register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Pre go live evidence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62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https://admin.lhazardstore.com/console/evidence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P0 UAT গ্রহণযোগ্যতা পরীক্ষা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63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https://admin.lhazardstore.com/console/uat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Go live blockers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64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https://admin.lhazardstore.com/console/blockers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Audit log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65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https://admin.lhazardstore.com/console/audit</w:t>
              </w:r>
            </w:hyperlink>
          </w:p>
        </w:tc>
      </w:tr>
    </w:tbl>
    <w:p>
      <w:pPr>
        <w:spacing w:after="0"/>
      </w:pPr>
    </w:p>
    <w:p>
      <w:pPr>
        <w:pStyle w:val="Heading2"/>
      </w:pPr>
      <w:r>
        <w:t>কোন কাজ কোন জায়গায় করবেন</w:t>
      </w:r>
    </w:p>
    <w:p>
      <w:r>
        <w:rPr>
          <w:b w:val="0"/>
        </w:rPr>
        <w:t>Integrations পেজে provider, প্রয়োজনীয় secret-এর নাম ও readiness status দেখা হয়। এটি আসল secret বসানোর ফর্ম নয়। গোপন API key রাখবেন Global → API vaults অথবা অ্যাপের নির্ধারিত runtime secret-এ।</w:t>
      </w:r>
    </w:p>
    <w:p>
      <w:r>
        <w:rPr>
          <w:b w:val="0"/>
        </w:rPr>
        <w:t>Launch switches থেকে শুধু অনুমোদিত ও পরীক্ষিত সুবিধা চালু করবেন। কোনো ফ্ল্যাগ অন করলেই অনুপস্থিত payment, shipping বা supplier code তৈরি হয় না।</w:t>
      </w:r>
    </w:p>
    <w:p>
      <w:r>
        <w:rPr>
          <w:b w:val="0"/>
        </w:rPr>
        <w:t>Webhook log হলো event পর্যবেক্ষণের জায়গা; এটি provider-কে দেওয়ার webhook URL নয়। ডেভেলপার সংশ্লিষ্ট adapter বানিয়ে সঠিক endpoint ও signature verification নির্ধারণ করবেন।</w:t>
      </w:r>
    </w:p>
    <w:p>
      <w:r>
        <w:rPr>
          <w:b w:val="0"/>
        </w:rPr>
        <w:t>Deployment status অ্যাপের রেকর্ড। সার্ভিস restart, environment variable ও বাস্তব runtime log দেখতে Coolify ব্যবহার করবেন।</w:t>
      </w:r>
    </w:p>
    <w:p>
      <w:pPr>
        <w:pStyle w:val="Heading2"/>
      </w:pPr>
      <w:r>
        <w:t>পরে তৈরি হতে পারে</w:t>
      </w:r>
    </w:p>
    <w:p>
      <w:r>
        <w:rPr>
          <w:b w:val="0"/>
        </w:rPr>
        <w:t>অটোমেশন কারখানা বা factory server, বাড়তি warehouse portal এবং provider webhook endpoint ভবিষ্যৎ সংযোগের নকশা অনুযায়ী নির্ধারিত হবে। এগুলোর তৈরি হয়নি এমন URL এই নথিতে দেওয়া হয়নি। পুরোনো KVM 8 আলাদা কাজের জন্য সংরক্ষিত।</w:t>
      </w:r>
    </w:p>
    <w:p>
      <w:r>
        <w:br w:type="page"/>
      </w:r>
    </w:p>
    <w:p>
      <w:pPr>
        <w:pStyle w:val="Heading1"/>
      </w:pPr>
      <w:r>
        <w:t>বিজনেস মেইল ও মূল ইনবক্স</w:t>
      </w:r>
    </w:p>
    <w:p>
      <w:r>
        <w:rPr>
          <w:b w:val="0"/>
        </w:rPr>
        <w:t>মূল মাদার ইনবক্স admin@lhazardstore.com। আগের Hostinger যাচাইয়ে নিচের আটটি alias এই একটি mailbox-এর অধীনে সক্রিয় ছিল। Alias-এর আলাদা password বা আলাদা inbox নেই।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5" w:type="dxa"/>
          <w:right w:w="95" w:type="dxa"/>
        </w:tblCellMar>
      </w:tblPr>
      <w:tblGrid>
        <w:gridCol w:w="4896"/>
        <w:gridCol w:w="5040"/>
      </w:tblGrid>
      <w:tr>
        <w:trPr>
          <w:cantSplit/>
          <w:tblHeader/>
        </w:trPr>
        <w:tc>
          <w:tcPr>
            <w:tcW w:type="dxa" w:w="4896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ঠিকানা</w:t>
            </w:r>
          </w:p>
        </w:tc>
        <w:tc>
          <w:tcPr>
            <w:tcW w:type="dxa" w:w="5040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কাজ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admin@lhazardstore.com</w:t>
            </w:r>
          </w:p>
        </w:tc>
        <w:tc>
          <w:tcPr>
            <w:tcW w:type="dxa" w:w="504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মূল ইনবক্স ও প্রশাসনিক যোগাযোগ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support@lhazardstore.com</w:t>
            </w:r>
          </w:p>
        </w:tc>
        <w:tc>
          <w:tcPr>
            <w:tcW w:type="dxa" w:w="5040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গ্রাহক সহায়তা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info@lhazardstore.com</w:t>
            </w:r>
          </w:p>
        </w:tc>
        <w:tc>
          <w:tcPr>
            <w:tcW w:type="dxa" w:w="504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সাধারণ কোম্পানি তথ্য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sales@lhazardstore.com</w:t>
            </w:r>
          </w:p>
        </w:tc>
        <w:tc>
          <w:tcPr>
            <w:tcW w:type="dxa" w:w="5040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বিক্রয় ও quotation enquiry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partners@lhazardstore.com</w:t>
            </w:r>
          </w:p>
        </w:tc>
        <w:tc>
          <w:tcPr>
            <w:tcW w:type="dxa" w:w="504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পার্টনার ও supplier সম্পর্ক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billing@lhazardstore.com</w:t>
            </w:r>
          </w:p>
        </w:tc>
        <w:tc>
          <w:tcPr>
            <w:tcW w:type="dxa" w:w="5040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বিল ও হিসাব সংক্রান্ত যোগাযোগ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privacy@lhazardstore.com</w:t>
            </w:r>
          </w:p>
        </w:tc>
        <w:tc>
          <w:tcPr>
            <w:tcW w:type="dxa" w:w="504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তথ্য ও গোপনীয়তার অনুরোধ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security@lhazardstore.com</w:t>
            </w:r>
          </w:p>
        </w:tc>
        <w:tc>
          <w:tcPr>
            <w:tcW w:type="dxa" w:w="5040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নিরাপত্তা সংক্রান্ত রিপোর্ট</w:t>
            </w:r>
          </w:p>
        </w:tc>
      </w:tr>
      <w:tr>
        <w:trPr>
          <w:cantSplit/>
        </w:trPr>
        <w:tc>
          <w:tcPr>
            <w:tcW w:type="dxa" w:w="4896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notifications@lhazardstore.com</w:t>
            </w:r>
          </w:p>
        </w:tc>
        <w:tc>
          <w:tcPr>
            <w:tcW w:type="dxa" w:w="504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ভবিষ্যৎ স্বয়ংক্রিয় notification-এর ঠিকানা</w:t>
            </w:r>
          </w:p>
        </w:tc>
      </w:tr>
    </w:tbl>
    <w:p>
      <w:pPr>
        <w:spacing w:after="0"/>
      </w:pPr>
    </w:p>
    <w:p>
      <w:r>
        <w:rPr>
          <w:b/>
        </w:rPr>
        <w:t>অগ্রাধিকার: আগের রেকর্ডে Premium Business Email-এর মেয়াদ ২৬ সেপ্টেম্বর ২০২৬ ছিল। ২৮ সেপ্টেম্বরের জন্য নবায়ন বা বর্তমান plan status নিশ্চিত করা হয়নি। নতুন করে পেমেন্টের আগে hPanel-এ বর্তমান অবস্থা দেখুন।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5" w:type="dxa"/>
          <w:right w:w="95" w:type="dxa"/>
        </w:tblCellMar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মেইল পরিচালনা</w:t>
            </w:r>
          </w:p>
        </w:tc>
        <w:tc>
          <w:tcPr>
            <w:tcW w:type="dxa" w:w="6552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লিংক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Hostinger Webmail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66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https://mail.hostinger.com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হোস্টিং ও মেইল প্যানেল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67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https://hpanel.hostinger.com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এই ডোমেইনের mailbox তালিকা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68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https://hpanel.hostinger.com/email/lhazardstore.com/accounts</w:t>
              </w:r>
            </w:hyperlink>
          </w:p>
        </w:tc>
      </w:tr>
    </w:tbl>
    <w:p>
      <w:pPr>
        <w:spacing w:after="0"/>
      </w:pPr>
    </w:p>
    <w:p>
      <w:r>
        <w:rPr>
          <w:b w:val="0"/>
        </w:rPr>
        <w:t>1. hPanel → Emails → lhazardstore.com-এ plan, admin mailbox ও আটটি alias আছে কি না দেখুন।</w:t>
      </w:r>
    </w:p>
    <w:p>
      <w:r>
        <w:rPr>
          <w:b w:val="0"/>
        </w:rPr>
        <w:t>2. নিজে admin mailbox-এর password দিয়ে Webmail খুলুন। ফোনে একই Webmail ব্যবহার ও browser shortcut রাখতে পারেন।</w:t>
      </w:r>
    </w:p>
    <w:p>
      <w:r>
        <w:rPr>
          <w:b w:val="0"/>
        </w:rPr>
        <w:t>3. প্রতিটি alias-এ আলাদা test mail পাঠিয়ে মূল inbox-এ আসে কি না দেখুন। নির্বাচিত From ঠিকানা দিয়ে উত্তর পাঠানোর সুবিধাও আলাদা পরীক্ষা করুন।</w:t>
      </w:r>
    </w:p>
    <w:p>
      <w:r>
        <w:rPr>
          <w:b w:val="0"/>
        </w:rPr>
        <w:t>4. SMTP সংযোগের আগে sender ও domain verification শেষ করুন। Alias তৈরি থাকা মানেই password recovery বা app notification চালু হওয়া নয়।</w:t>
      </w:r>
    </w:p>
    <w:p>
      <w:r>
        <w:rPr>
          <w:b w:val="0"/>
        </w:rPr>
        <w:t>আগে MX, SPF, DKIM ও DMARC পাওয়া গেছে; তখন DMARC p=none ছিল। ডেভেলপার পরিবর্তনের আগে বর্তমান DNS যাচাই করবেন। Mail delivery test ও নতুন staff mailbox নির্বাচন মালিকের কাজের সঙ্গে সমন্বয় করে হবে।</w:t>
      </w:r>
    </w:p>
    <w:p>
      <w:r>
        <w:br w:type="page"/>
      </w:r>
    </w:p>
    <w:p>
      <w:pPr>
        <w:pStyle w:val="Heading1"/>
      </w:pPr>
      <w:r>
        <w:t>API Vault কোথায় এবং কীভাবে ব্যবহার করবেন</w:t>
      </w:r>
    </w:p>
    <w:p>
      <w:r>
        <w:rPr>
          <w:b w:val="0"/>
        </w:rPr>
        <w:t>API key হলো provider-এর সঙ্গে সংযোগের গোপন চাবি। Global → API vaults হলো সুরক্ষিতভাবে সেই credential রাখার জায়গা। Company &amp; team-এর সাধারণ যোগাযোগ ফিল্ডে API key লিখবেন না।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5" w:type="dxa"/>
          <w:right w:w="95" w:type="dxa"/>
        </w:tblCellMar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প্রবেশপথ</w:t>
            </w:r>
          </w:p>
        </w:tc>
        <w:tc>
          <w:tcPr>
            <w:tcW w:type="dxa" w:w="6552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লিংক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CEO Global → API vaults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28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https://ceo.lhazardstore.com/executive/global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Admin Global → API vaults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34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https://admin.lhazardstore.com/console/global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Provider readiness তালিকা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56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https://admin.lhazardstore.com/console/integrations</w:t>
              </w:r>
            </w:hyperlink>
          </w:p>
        </w:tc>
      </w:tr>
    </w:tbl>
    <w:p>
      <w:pPr>
        <w:spacing w:after="0"/>
      </w:pPr>
    </w:p>
    <w:p>
      <w:r>
        <w:rPr>
          <w:b w:val="0"/>
        </w:rPr>
        <w:t>1. আগে provider account, প্রয়োজনীয় অনুমোদন, দেশ, currency এবং sandbox বা production পরিবেশ নির্ধারণ করুন।</w:t>
      </w:r>
    </w:p>
    <w:p>
      <w:r>
        <w:rPr>
          <w:b w:val="0"/>
        </w:rPr>
        <w:t>2. নিজের Admin বা CEO অ্যাকাউন্টে Global খুলে API vaults নির্বাচন করুন।</w:t>
      </w:r>
    </w:p>
    <w:p>
      <w:r>
        <w:rPr>
          <w:b w:val="0"/>
        </w:rPr>
        <w:t>3. Provider, environment, B2B বা B2C scope এবং country code বাছুন। তারপর নির্ধারিত secret field-এ key দিন।</w:t>
      </w:r>
    </w:p>
    <w:p>
      <w:r>
        <w:rPr>
          <w:b w:val="0"/>
        </w:rPr>
        <w:t>4. Save করে connection status দেখুন। বর্তমানে কিছু provider-এর read-only verifier আছে; সেগুলো লেনদেন করে না।</w:t>
      </w:r>
    </w:p>
    <w:p>
      <w:r>
        <w:rPr>
          <w:b w:val="0"/>
        </w:rPr>
        <w:t>5. ডেভেলপার এই vault record-কে সংশ্লিষ্ট adapter ও order flow-এর সঙ্গে যুক্ত করবেন। নমুনা লেনদেন এবং ব্যর্থতার পরীক্ষা শেষ করবেন।</w:t>
      </w:r>
    </w:p>
    <w:p>
      <w:r>
        <w:rPr>
          <w:b w:val="0"/>
        </w:rPr>
        <w:t>6. প্রমাণ ও দায়িত্বপ্রাপ্ত ব্যক্তির অনুমোদনের পরে নির্দিষ্ট market এবং feature চালু হবে।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5" w:type="dxa"/>
          <w:right w:w="95" w:type="dxa"/>
        </w:tblCellMar>
      </w:tblPr>
      <w:tblGrid>
        <w:gridCol w:w="1512"/>
        <w:gridCol w:w="3816"/>
        <w:gridCol w:w="4608"/>
      </w:tblGrid>
      <w:tr>
        <w:trPr>
          <w:cantSplit/>
          <w:tblHeader/>
        </w:trPr>
        <w:tc>
          <w:tcPr>
            <w:tcW w:type="dxa" w:w="1512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19"/>
                <w:szCs w:val="19"/>
                <w:lang w:val="bn-BD" w:bidi="bn-BD"/>
              </w:rPr>
              <w:t>Provider</w:t>
            </w:r>
          </w:p>
        </w:tc>
        <w:tc>
          <w:tcPr>
            <w:tcW w:type="dxa" w:w="3816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19"/>
                <w:szCs w:val="19"/>
                <w:lang w:val="bn-BD" w:bidi="bn-BD"/>
              </w:rPr>
              <w:t>এখনকার verifier কী দেখে</w:t>
            </w:r>
          </w:p>
        </w:tc>
        <w:tc>
          <w:tcPr>
            <w:tcW w:type="dxa" w:w="4608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19"/>
                <w:szCs w:val="19"/>
                <w:lang w:val="bn-BD" w:bidi="bn-BD"/>
              </w:rPr>
              <w:t>যা এখনো করে না</w:t>
            </w:r>
          </w:p>
        </w:tc>
      </w:tr>
      <w:tr>
        <w:trPr>
          <w:cantSplit/>
        </w:trPr>
        <w:tc>
          <w:tcPr>
            <w:tcW w:type="dxa" w:w="1512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Stripe</w:t>
            </w:r>
          </w:p>
        </w:tc>
        <w:tc>
          <w:tcPr>
            <w:tcW w:type="dxa" w:w="3816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Balance পড়ার অনুমতি ও test/live মিল</w:t>
            </w:r>
          </w:p>
        </w:tc>
        <w:tc>
          <w:tcPr>
            <w:tcW w:type="dxa" w:w="4608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Charge, refund, payout</w:t>
            </w:r>
          </w:p>
        </w:tc>
      </w:tr>
      <w:tr>
        <w:trPr>
          <w:cantSplit/>
        </w:trPr>
        <w:tc>
          <w:tcPr>
            <w:tcW w:type="dxa" w:w="1512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EasyPost</w:t>
            </w:r>
          </w:p>
        </w:tc>
        <w:tc>
          <w:tcPr>
            <w:tcW w:type="dxa" w:w="3816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Production user endpoint</w:t>
            </w:r>
          </w:p>
        </w:tc>
        <w:tc>
          <w:tcPr>
            <w:tcW w:type="dxa" w:w="4608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Label কেনা ও shipment</w:t>
            </w:r>
          </w:p>
        </w:tc>
      </w:tr>
      <w:tr>
        <w:trPr>
          <w:cantSplit/>
        </w:trPr>
        <w:tc>
          <w:tcPr>
            <w:tcW w:type="dxa" w:w="1512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Resend</w:t>
            </w:r>
          </w:p>
        </w:tc>
        <w:tc>
          <w:tcPr>
            <w:tcW w:type="dxa" w:w="3816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Domain তালিকা পড়ার অনুমতি</w:t>
            </w:r>
          </w:p>
        </w:tc>
        <w:tc>
          <w:tcPr>
            <w:tcW w:type="dxa" w:w="4608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Mail পাঠানো</w:t>
            </w:r>
          </w:p>
        </w:tc>
      </w:tr>
      <w:tr>
        <w:trPr>
          <w:cantSplit/>
        </w:trPr>
        <w:tc>
          <w:tcPr>
            <w:tcW w:type="dxa" w:w="1512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Custom provider</w:t>
            </w:r>
          </w:p>
        </w:tc>
        <w:tc>
          <w:tcPr>
            <w:tcW w:type="dxa" w:w="3816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Encrypted credential সংরক্ষণ</w:t>
            </w:r>
          </w:p>
        </w:tc>
        <w:tc>
          <w:tcPr>
            <w:tcW w:type="dxa" w:w="4608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Adapter ছাড়া কোনো request</w:t>
            </w:r>
          </w:p>
        </w:tc>
      </w:tr>
    </w:tbl>
    <w:p>
      <w:pPr>
        <w:spacing w:after="0"/>
      </w:pPr>
    </w:p>
    <w:p>
      <w:r>
        <w:rPr>
          <w:b/>
        </w:rPr>
        <w:t>VERIFIED মানে পড়ার সংযোগ সফল। এটি payment বা shipping LIVE হওয়ার অনুমোদন নয়। Custom provider-এ ADAPTER_REQUIRED মানে ডেভেলপারের সংযোগের code প্রয়োজন।</w:t>
      </w:r>
    </w:p>
    <w:p>
      <w:r>
        <w:rPr>
          <w:b w:val="0"/>
        </w:rPr>
        <w:t>নতুন vault ও আগের partner credential slot একই ব্যবস্থা নয়। দুটির মধ্যে mapping ও routing code এখনো আলাদা কাজ। Key বদলানোর পরে আবার test করুন; vault থেকে মুছলে provider account-এর key নিজে থেকে বাতিল হয় না।</w:t>
      </w:r>
    </w:p>
    <w:p>
      <w:r>
        <w:br w:type="page"/>
      </w:r>
    </w:p>
    <w:p>
      <w:pPr>
        <w:pStyle w:val="Heading1"/>
      </w:pPr>
      <w:r>
        <w:t>কোন API সংযোগের কী কাজ বাকি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5" w:type="dxa"/>
          <w:right w:w="95" w:type="dxa"/>
        </w:tblCellMar>
      </w:tblPr>
      <w:tblGrid>
        <w:gridCol w:w="1872"/>
        <w:gridCol w:w="3744"/>
        <w:gridCol w:w="4320"/>
      </w:tblGrid>
      <w:tr>
        <w:trPr>
          <w:cantSplit/>
          <w:tblHeader/>
        </w:trPr>
        <w:tc>
          <w:tcPr>
            <w:tcW w:type="dxa" w:w="1872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19"/>
                <w:szCs w:val="19"/>
                <w:lang w:val="bn-BD" w:bidi="bn-BD"/>
              </w:rPr>
              <w:t>সংযোগ</w:t>
            </w:r>
          </w:p>
        </w:tc>
        <w:tc>
          <w:tcPr>
            <w:tcW w:type="dxa" w:w="3744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19"/>
                <w:szCs w:val="19"/>
                <w:lang w:val="bn-BD" w:bidi="bn-BD"/>
              </w:rPr>
              <w:t>মালিক বা ব্যবসার পক্ষ</w:t>
            </w:r>
          </w:p>
        </w:tc>
        <w:tc>
          <w:tcPr>
            <w:tcW w:type="dxa" w:w="4320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19"/>
                <w:szCs w:val="19"/>
                <w:lang w:val="bn-BD" w:bidi="bn-BD"/>
              </w:rPr>
              <w:t>ডেভেলপারের পক্ষ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পণ্য ও supplier feed</w:t>
            </w:r>
          </w:p>
        </w:tc>
        <w:tc>
          <w:tcPr>
            <w:tcW w:type="dxa" w:w="374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অনুমোদিত supplier, catalogue, মূল্য, currency, stock ও ছবি দেবেন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API বা CSV import, field mapping, stock sync, review ও প্রকাশ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Payment ও payout</w:t>
            </w:r>
          </w:p>
        </w:tc>
        <w:tc>
          <w:tcPr>
            <w:tcW w:type="dxa" w:w="374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Provider, KYC, settlement account, দেশ ও currency অনুমোদন</w:t>
            </w:r>
          </w:p>
        </w:tc>
        <w:tc>
          <w:tcPr>
            <w:tcW w:type="dxa" w:w="4320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Checkout, signed webhook, এক event একবার process, reconciliation, refund ও payout পরীক্ষা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Logistics</w:t>
            </w:r>
          </w:p>
        </w:tc>
        <w:tc>
          <w:tcPr>
            <w:tcW w:type="dxa" w:w="374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Carrier, pickup, service country, delivery ও return address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Rate, label, tracking, status sync ও ব্যর্থ request সামলানো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Mail ও recovery</w:t>
            </w:r>
          </w:p>
        </w:tc>
        <w:tc>
          <w:tcPr>
            <w:tcW w:type="dxa" w:w="374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সক্রিয় mailbox, verified sender ও provider নির্বাচন</w:t>
            </w:r>
          </w:p>
        </w:tc>
        <w:tc>
          <w:tcPr>
            <w:tcW w:type="dxa" w:w="4320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SMTP বা transactional mail adapter, delivery test, password recovery পরীক্ষা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Tax ও invoice</w:t>
            </w:r>
          </w:p>
        </w:tc>
        <w:tc>
          <w:tcPr>
            <w:tcW w:type="dxa" w:w="374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কর ও invoice-এর ব্যবসায়িক প্রয়োজন নিশ্চিত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দেশভিত্তিক calculation, invoice field ও test case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Identity ও KYB</w:t>
            </w:r>
          </w:p>
        </w:tc>
        <w:tc>
          <w:tcPr>
            <w:tcW w:type="dxa" w:w="374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কোন নথি ও approval লাগবে নির্ধারণ</w:t>
            </w:r>
          </w:p>
        </w:tc>
        <w:tc>
          <w:tcPr>
            <w:tcW w:type="dxa" w:w="4320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Provider integration, access control ও audit trail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OpenAI সহকারী</w:t>
            </w:r>
          </w:p>
        </w:tc>
        <w:tc>
          <w:tcPr>
            <w:tcW w:type="dxa" w:w="374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Provider billing ও ব্যবহার পর্যালোচনা</w:t>
            </w:r>
          </w:p>
        </w:tc>
        <w:tc>
          <w:tcPr>
            <w:tcW w:type="dxa" w:w="432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চালু সংযোগের monitoring; scaling হলে স্থায়ী shared rate limit</w:t>
            </w:r>
          </w:p>
        </w:tc>
      </w:tr>
      <w:tr>
        <w:trPr>
          <w:cantSplit/>
        </w:trPr>
        <w:tc>
          <w:tcPr>
            <w:tcW w:type="dxa" w:w="1872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Factory automation</w:t>
            </w:r>
          </w:p>
        </w:tc>
        <w:tc>
          <w:tcPr>
            <w:tcW w:type="dxa" w:w="374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কোন factory কী কাজ করবে নির্ধারণ</w:t>
            </w:r>
          </w:p>
        </w:tc>
        <w:tc>
          <w:tcPr>
            <w:tcW w:type="dxa" w:w="4320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পৃথক server বা service নকশা, queue, অনুমতি ও API contract</w:t>
            </w:r>
          </w:p>
        </w:tc>
      </w:tr>
    </w:tbl>
    <w:p>
      <w:pPr>
        <w:spacing w:after="0"/>
      </w:pPr>
    </w:p>
    <w:p>
      <w:pPr>
        <w:pStyle w:val="Heading2"/>
      </w:pPr>
      <w:r>
        <w:t>প্রতিটি সংযোগের গ্রহণযোগ্যতা</w:t>
      </w:r>
    </w:p>
    <w:p>
      <w:r>
        <w:rPr>
          <w:b w:val="0"/>
        </w:rPr>
        <w:t>1. Sandbox-এ success, failure, duplicate request, timeout এবং অননুমোদিত access পরীক্ষা করুন।</w:t>
      </w:r>
    </w:p>
    <w:p>
      <w:r>
        <w:rPr>
          <w:b w:val="0"/>
        </w:rPr>
        <w:t>2. Webhook-এর signature ও retry পরীক্ষা করুন; একই event দিয়ে দ্বিগুণ charge বা order যেন না হয়।</w:t>
      </w:r>
    </w:p>
    <w:p>
      <w:r>
        <w:rPr>
          <w:b w:val="0"/>
        </w:rPr>
        <w:t>3. Production key আলাদা রাখুন এবং provider-এর সঠিক account ও environment নিশ্চিত করুন।</w:t>
      </w:r>
    </w:p>
    <w:p>
      <w:r>
        <w:rPr>
          <w:b w:val="0"/>
        </w:rPr>
        <w:t>4. প্রথমে সীমিত পণ্য ও অনুমোদিত market চালু করুন; ফল মিললে ধাপে ধাপে বাড়ান।</w:t>
      </w:r>
    </w:p>
    <w:p>
      <w:r>
        <w:rPr>
          <w:b w:val="0"/>
        </w:rPr>
        <w:t>ব্যবসায়িক rules ও code সম্পন্ন না করে শুধু API key বসিয়ে বাস্তব বিক্রয় চালু করবেন না। এখন retail cart, checkout ও consumer order-history flow-ও সম্পূর্ণ করা বাকি।</w:t>
      </w:r>
    </w:p>
    <w:p>
      <w:r>
        <w:br w:type="page"/>
      </w:r>
    </w:p>
    <w:p>
      <w:pPr>
        <w:pStyle w:val="Heading1"/>
      </w:pPr>
      <w:r>
        <w:t>AI সহকারী ও হোস্টিং পরিচালনা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5" w:type="dxa"/>
          <w:right w:w="95" w:type="dxa"/>
        </w:tblCellMar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কাজ</w:t>
            </w:r>
          </w:p>
        </w:tc>
        <w:tc>
          <w:tcPr>
            <w:tcW w:type="dxa" w:w="6552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লিংক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অ্যাপ ও সার্ভিস পরিচালনা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69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https://panel.lhazardstore.com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VPS Domain DNS ও billing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67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https://hpanel.hostinger.com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Hostinger Webmail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66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https://mail.hostinger.com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OpenAI Platform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70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https://platform.openai.com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OpenAI API keys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71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https://platform.openai.com/api-keys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OpenAI billing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hyperlink r:id="rId72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https://platform.openai.com/settings/organization/billing/overview</w:t>
              </w:r>
            </w:hyperlink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ব্যাকএন্ড API প্রবেশপথ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hyperlink r:id="rId73">
              <w:r>
                <w:rPr>
                  <w:rFonts w:ascii="Calibri" w:hAnsi="Calibri" w:cs="Calibri" w:eastAsia="Calibri"/>
                  <w:sz w:val="19"/>
                  <w:szCs w:val="19"/>
                  <w:lang w:val="bn-BD" w:bidi="bn-BD"/>
                  <w:color w:val="175B7A"/>
                  <w:u w:val="single"/>
                </w:rPr>
                <w:t>https://api.lhazardstore.com</w:t>
              </w:r>
            </w:hyperlink>
          </w:p>
        </w:tc>
      </w:tr>
    </w:tbl>
    <w:p>
      <w:pPr>
        <w:spacing w:after="0"/>
      </w:pPr>
    </w:p>
    <w:p>
      <w:r>
        <w:rPr>
          <w:b w:val="0"/>
        </w:rPr>
        <w:t>অ্যাপের পরিচালনা প্যানেল Coolify। Hostinger account-এর প্যানেল hPanel। বর্তমানে প্রচলিত cPanel সফটওয়্যার ব্যবহার করা হচ্ছে না। Backend API ঠিকানা সাধারণ dashboard নয়; এর root-এ 418 response আসা পরিকল্পিত আচরণ।</w:t>
      </w:r>
    </w:p>
    <w:p>
      <w:pPr>
        <w:pStyle w:val="Heading2"/>
      </w:pPr>
      <w:r>
        <w:t>AI ব্যবহার ও key বদলানোর ধাপ</w:t>
      </w:r>
    </w:p>
    <w:p>
      <w:r>
        <w:rPr>
          <w:b w:val="0"/>
        </w:rPr>
        <w:t>1. ওয়েবসাইটে “Need a hand?” খুলে ভাষা বেছে নিন। AI ব্যবহারের সম্মতি চালু হলে প্রশ্ন OpenAI-তে যাবে।</w:t>
      </w:r>
    </w:p>
    <w:p>
      <w:r>
        <w:rPr>
          <w:b w:val="0"/>
        </w:rPr>
        <w:t>2. Key বদলানোর প্রয়োজন হলে অনুমোদিত OpenAI project-এ নতুন key নিজে তৈরি করুন। চ্যাট, সাধারণ note বা source code-এ রাখবেন না।</w:t>
      </w:r>
    </w:p>
    <w:p>
      <w:r>
        <w:rPr>
          <w:b w:val="0"/>
        </w:rPr>
        <w:t>3. Coolify → L Hazard Production → Environment Variables-এ OPENAI_API_KEY runtime secret আপডেট করুন। Buildtime-এ দেবেন না।</w:t>
      </w:r>
    </w:p>
    <w:p>
      <w:r>
        <w:rPr>
          <w:b w:val="0"/>
        </w:rPr>
        <w:t>4. দায়িত্বপ্রাপ্ত ডেভেলপার mapping যাচাই করে Restart current version করবেন; বাংলা ও ইংরেজিতে বাস্তব উত্তর এবং guided fallback আবার পরীক্ষা করবেন।</w:t>
      </w:r>
    </w:p>
    <w:p>
      <w:r>
        <w:rPr>
          <w:b w:val="0"/>
        </w:rPr>
        <w:t>বর্তমান মডেল gpt-4.1-mini-2025-04-14; OPENAI_SUPPORT_ENABLED=true। Key শুধু marketplace-এ ব্যবহারযোগ্য রাখা হয়েছে; অন্য সার্ভিসের নিষ্ক্রিয় override বজায় রাখতে হবে। Model বদলালে আলাদা পরীক্ষা প্রয়োজন।</w:t>
      </w:r>
    </w:p>
    <w:p>
      <w:pPr>
        <w:pStyle w:val="Heading2"/>
      </w:pPr>
      <w:r>
        <w:t>সহকারীর সীমা</w:t>
      </w:r>
    </w:p>
    <w:p>
      <w:r>
        <w:rPr>
          <w:b w:val="0"/>
        </w:rPr>
        <w:t>গ্রাহকের সম্মতি ডিফল্টে বন্ধ। সহকারী পণ্য ও প্রকাশ্য নীতিমালার তথ্য দেয়; private order lookup আলাদা লগইন ও অনুমতি যাচাই করে। AI কোনো অর্ডার, payment বা refund তৈরি বা পরিবর্তন করে না।</w:t>
      </w:r>
    </w:p>
    <w:p>
      <w:r>
        <w:rPr>
          <w:b w:val="0"/>
        </w:rPr>
        <w:t>প্রতি process-এ ২৪ ঘণ্টায় ২০০টি AI attempt-এর সীমা আছে। Restart হলে হিসাব reset হয়; এটি খরচের স্থায়ী সর্বোচ্চ সীমা নয়। Owner OpenAI billing নিয়মিত দেখবেন। Provider ব্যর্থ হলে guided উত্তর পাওয়া যায়।</w:t>
      </w:r>
    </w:p>
    <w:p>
      <w:r>
        <w:br w:type="page"/>
      </w:r>
    </w:p>
    <w:p>
      <w:pPr>
        <w:pStyle w:val="Heading1"/>
      </w:pPr>
      <w:r>
        <w:t>পরবর্তী কাজের দায়িত্ব ও ক্রম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5" w:type="dxa"/>
          <w:right w:w="95" w:type="dxa"/>
        </w:tblCellMar>
      </w:tblPr>
      <w:tblGrid>
        <w:gridCol w:w="1440"/>
        <w:gridCol w:w="4248"/>
        <w:gridCol w:w="4248"/>
      </w:tblGrid>
      <w:tr>
        <w:trPr>
          <w:cantSplit/>
          <w:tblHeader/>
        </w:trPr>
        <w:tc>
          <w:tcPr>
            <w:tcW w:type="dxa" w:w="1440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19"/>
                <w:szCs w:val="19"/>
                <w:lang w:val="bn-BD" w:bidi="bn-BD"/>
              </w:rPr>
              <w:t>অগ্রাধিকার</w:t>
            </w:r>
          </w:p>
        </w:tc>
        <w:tc>
          <w:tcPr>
            <w:tcW w:type="dxa" w:w="4248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19"/>
                <w:szCs w:val="19"/>
                <w:lang w:val="bn-BD" w:bidi="bn-BD"/>
              </w:rPr>
              <w:t>মালিক বা দায়িত্বপ্রাপ্ত কর্মী</w:t>
            </w:r>
          </w:p>
        </w:tc>
        <w:tc>
          <w:tcPr>
            <w:tcW w:type="dxa" w:w="4248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19"/>
                <w:szCs w:val="19"/>
                <w:lang w:val="bn-BD" w:bidi="bn-BD"/>
              </w:rPr>
              <w:t>ডেভেলপার বা প্রযুক্তি দল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এখন</w:t>
            </w:r>
          </w:p>
        </w:tc>
        <w:tc>
          <w:tcPr>
            <w:tcW w:type="dxa" w:w="4248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মেইল plan ও inbox; দুই Owner-এর login ও নিজের authenticator যাচাই</w:t>
            </w:r>
          </w:p>
        </w:tc>
        <w:tc>
          <w:tcPr>
            <w:tcW w:type="dxa" w:w="4248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ডকুমেন্টের লিংক, সার্ভিস ও backup status পরীক্ষা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ব্যবসার তথ্য</w:t>
            </w:r>
          </w:p>
        </w:tc>
        <w:tc>
          <w:tcPr>
            <w:tcW w:type="dxa" w:w="4248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Company &amp; team পূরণ; প্রথম কর্মী, যোগাযোগ, দেশ ও catalogue source নির্ধারণ</w:t>
            </w:r>
          </w:p>
        </w:tc>
        <w:tc>
          <w:tcPr>
            <w:tcW w:type="dxa" w:w="4248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তথ্য যাচাই; অনুমোদিত public পরিবর্তন প্রকাশ ও permissions পরীক্ষা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প্রথম কর্মী</w:t>
            </w:r>
          </w:p>
        </w:tc>
        <w:tc>
          <w:tcPr>
            <w:tcW w:type="dxa" w:w="4248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Accounts &amp; groups-এ প্রয়োজনীয় role; private invitation বিতরণ</w:t>
            </w:r>
          </w:p>
        </w:tc>
        <w:tc>
          <w:tcPr>
            <w:tcW w:type="dxa" w:w="4248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Login, role boundary ও organisation membership যাচাই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পার্টনার</w:t>
            </w:r>
          </w:p>
        </w:tc>
        <w:tc>
          <w:tcPr>
            <w:tcW w:type="dxa" w:w="4248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Supplier ও payment/logistics provider, চুক্তি ও প্রয়োজনীয় তথ্য নির্বাচন</w:t>
            </w:r>
          </w:p>
        </w:tc>
        <w:tc>
          <w:tcPr>
            <w:tcW w:type="dxa" w:w="4248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Vault mapping, adapters, webhook, logs ও sandbox test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বাণিজ্যিক চালু</w:t>
            </w:r>
          </w:p>
        </w:tc>
        <w:tc>
          <w:tcPr>
            <w:tcW w:type="dxa" w:w="4248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বাস্তব পণ্য, দাম, stock, shipping, return ও invoice নিয়ম অনুমোদন</w:t>
            </w:r>
          </w:p>
        </w:tc>
        <w:tc>
          <w:tcPr>
            <w:tcW w:type="dxa" w:w="4248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Checkout ও order flow সম্পূর্ণ; test evidence; সীমিত production rollout</w:t>
            </w:r>
          </w:p>
        </w:tc>
      </w:tr>
      <w:tr>
        <w:trPr>
          <w:cantSplit/>
        </w:trPr>
        <w:tc>
          <w:tcPr>
            <w:tcW w:type="dxa" w:w="1440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নিয়মিত পরিচালনা</w:t>
            </w:r>
          </w:p>
        </w:tc>
        <w:tc>
          <w:tcPr>
            <w:tcW w:type="dxa" w:w="4248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কাজের owner, support সময়, alert recipient ও backup গন্তব্য নির্বাচন</w:t>
            </w:r>
          </w:p>
        </w:tc>
        <w:tc>
          <w:tcPr>
            <w:tcW w:type="dxa" w:w="4248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19"/>
                <w:szCs w:val="19"/>
                <w:lang w:val="bn-BD" w:bidi="bn-BD"/>
              </w:rPr>
              <w:t>Off-server backup, alert delivery, restore rehearsal ও deployment process</w:t>
            </w:r>
          </w:p>
        </w:tc>
      </w:tr>
    </w:tbl>
    <w:p>
      <w:pPr>
        <w:spacing w:after="0"/>
      </w:pPr>
    </w:p>
    <w:p>
      <w:pPr>
        <w:pStyle w:val="Heading2"/>
      </w:pPr>
      <w:r>
        <w:t>Company ও team তথ্য বসাবেন যেভাবে</w:t>
      </w:r>
    </w:p>
    <w:p>
      <w:r>
        <w:rPr>
          <w:b w:val="0"/>
        </w:rPr>
        <w:t>1. CEO → Global → Company &amp; team খুলুন।</w:t>
      </w:r>
    </w:p>
    <w:p>
      <w:r>
        <w:rPr>
          <w:b w:val="0"/>
        </w:rPr>
        <w:t>2. প্রকাশযোগ্য কোম্পানির ঠিকানা, contact email, business mailbox, প্রথম কর্মীর নাম ও দায়িত্ব, catalogue-এর অবস্থান লিখুন।</w:t>
      </w:r>
    </w:p>
    <w:p>
      <w:r>
        <w:rPr>
          <w:b w:val="0"/>
        </w:rPr>
        <w:t>3. Save business setup চাপুন। এই save mailbox, user account বা permission তৈরি করে না।</w:t>
      </w:r>
    </w:p>
    <w:p>
      <w:r>
        <w:rPr>
          <w:b w:val="0"/>
        </w:rPr>
        <w:t>4. Public website বা নীতিমালায় একই পরিবর্তন লাগলে ডেভেলপারকে নির্দিষ্ট তথ্য প্রকাশ করতে দিন; private setup save করলে প্রকাশ্য policy নিজে বদলায় না।</w:t>
      </w:r>
    </w:p>
    <w:p>
      <w:pPr>
        <w:pStyle w:val="Heading2"/>
      </w:pPr>
      <w:r>
        <w:t>বিক্রয় খোলার আগে মালিকের অনুমোদন</w:t>
      </w:r>
    </w:p>
    <w:p>
      <w:r>
        <w:rPr>
          <w:b w:val="0"/>
        </w:rPr>
        <w:t>কোন প্রতিষ্ঠান বিক্রেতা হিসেবে দায় নেবে, কোন পণ্য ও দেশে বিক্রি হবে, tax ও invoice কী হবে, delivery ও return কোথায় হবে এবং support কে দেবে—এসব নিশ্চিত করুন। বর্তমান pilot-এর নীতিমালা বাস্তব বিক্রির নিয়মের সঙ্গে মিলিয়ে পর্যালোচনা করে প্রকাশ করতে হবে।</w:t>
      </w:r>
    </w:p>
    <w:p>
      <w:r>
        <w:rPr>
          <w:b w:val="0"/>
        </w:rPr>
        <w:t>কোম্পানির স্থায়ী পরিচিতি আবার শুরু থেকে দিতে হবে না। শুধু পরিবর্তিত বা অনুপস্থিত তথ্য এবং প্রকৃত ব্যবসার সিদ্ধান্তগুলো পূরণ করুন।</w:t>
      </w:r>
    </w:p>
    <w:p>
      <w:r>
        <w:br w:type="page"/>
      </w:r>
    </w:p>
    <w:p>
      <w:pPr>
        <w:pStyle w:val="Heading1"/>
      </w:pPr>
      <w:r>
        <w:t>নিয়মিত পরিচালনা ও কর্মীর হস্তান্তর</w:t>
      </w:r>
    </w:p>
    <w:p>
      <w:pPr>
        <w:pStyle w:val="Heading2"/>
      </w:pPr>
      <w:r>
        <w:t>প্রতিদিন ও প্রতি সপ্তাহে</w:t>
      </w:r>
    </w:p>
    <w:p>
      <w:r>
        <w:rPr>
          <w:b w:val="0"/>
        </w:rPr>
        <w:t>1. প্রতিদিন: website ও login খুলছে কি না, enquiry ও support inbox, failed integration এবং সাম্প্রতিক backup status দেখুন।</w:t>
      </w:r>
    </w:p>
    <w:p>
      <w:r>
        <w:rPr>
          <w:b w:val="0"/>
        </w:rPr>
        <w:t>2. প্রতি সপ্তাহে: provider usage ও billing, mailbox renewal, key expiry, pending review, unresolved incident এবং staff access পর্যালোচনা করুন।</w:t>
      </w:r>
    </w:p>
    <w:p>
      <w:r>
        <w:rPr>
          <w:b w:val="0"/>
        </w:rPr>
        <w:t>3. প্রতিটি release-এর আগে: backup, পরিবর্তনের তালিকা, পরীক্ষার প্রমাণ ও rollback পরিকল্পনা রাখুন। পরে website, auth, AI ও প্রভাবিত flow পরীক্ষা করুন।</w:t>
      </w:r>
    </w:p>
    <w:p>
      <w:pPr>
        <w:pStyle w:val="Heading2"/>
      </w:pPr>
      <w:r>
        <w:t>Backup ও monitoring এর বর্তমান সীমা</w:t>
      </w:r>
    </w:p>
    <w:p>
      <w:r>
        <w:rPr>
          <w:b w:val="0"/>
        </w:rPr>
        <w:t>একই VPS-এ দৈনিক backup ও প্রায় পাঁচ মিনিট অন্তর health check আছে। সাধারণত backup প্রায় ১৪ দিন রাখা হয়। আগের আলাদা পরিবেশে data/configuration restore-এর ২০টি পরীক্ষা সফল হয়েছে।</w:t>
      </w:r>
    </w:p>
    <w:p>
      <w:r>
        <w:rPr>
          <w:b w:val="0"/>
        </w:rPr>
        <w:t>নিয়মিত off-server backup, বাইরের alert delivery এবং সম্পূর্ণ replacement VPS-এ site চালিয়ে recovery পরীক্ষা এখনো বাকি। একই সার্ভারের backup একা সার্ভার হারানোর পূর্ণ সুরক্ষা দেয় না।</w:t>
      </w:r>
    </w:p>
    <w:p>
      <w:pPr>
        <w:pStyle w:val="Heading2"/>
      </w:pPr>
      <w:r>
        <w:t>পরবর্তী কর্মীকে যা বুঝিয়ে দেবেন</w:t>
      </w:r>
    </w:p>
    <w:tbl>
      <w:tblPr>
        <w:tblW w:type="auto" w:w="0"/>
        <w:jc w:val="center"/>
        <w:tblLayout w:type="fixed"/>
        <w:tblLook w:firstColumn="1" w:firstRow="1" w:lastColumn="0" w:lastRow="0" w:noHBand="0" w:noVBand="1" w:val="04A0"/>
        <w:tblBorders>
          <w:top w:val="single" w:sz="4" w:color="D9D9D9"/>
          <w:left w:val="single" w:sz="4" w:color="D9D9D9"/>
          <w:bottom w:val="single" w:sz="4" w:color="D9D9D9"/>
          <w:right w:val="single" w:sz="4" w:color="D9D9D9"/>
          <w:insideH w:val="single" w:sz="4" w:color="D9D9D9"/>
          <w:insideV w:val="single" w:sz="4" w:color="D9D9D9"/>
        </w:tblBorders>
        <w:tblCellMar>
          <w:top w:w="75" w:type="dxa"/>
          <w:bottom w:w="75" w:type="dxa"/>
          <w:left w:w="95" w:type="dxa"/>
          <w:right w:w="95" w:type="dxa"/>
        </w:tblCellMar>
      </w:tblPr>
      <w:tblGrid>
        <w:gridCol w:w="3384"/>
        <w:gridCol w:w="6552"/>
      </w:tblGrid>
      <w:tr>
        <w:trPr>
          <w:cantSplit/>
          <w:tblHeader/>
        </w:trPr>
        <w:tc>
          <w:tcPr>
            <w:tcW w:type="dxa" w:w="3384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দিতে হবে</w:t>
            </w:r>
          </w:p>
        </w:tc>
        <w:tc>
          <w:tcPr>
            <w:tcW w:type="dxa" w:w="6552"/>
            <w:vAlign w:val="center"/>
            <w:shd w:fill="183A4A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/>
                <w:color w:val="FFFFFF"/>
                <w:sz w:val="20"/>
                <w:szCs w:val="20"/>
                <w:lang w:val="bn-BD" w:bidi="bn-BD"/>
              </w:rPr>
              <w:t>কীভাবে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এই PDF এবং editable Word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এই নির্দেশিকার download page থেকে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নিজের staff account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CEO থেকে সঠিক role-এ invitation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দায়িত্ব ও অনুমোদনের সীমা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কোন বিভাগ দেখবেন এবং কাকে রিপোর্ট করবেন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পরীক্ষার ও release-এর রেকর্ড</w:t>
            </w:r>
          </w:p>
        </w:tc>
        <w:tc>
          <w:tcPr>
            <w:tcW w:type="dxa" w:w="6552"/>
            <w:vAlign w:val="center"/>
            <w:shd w:fill="F1F5F7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ডেভেলপারের সংরক্ষিত handover ও report</w:t>
            </w:r>
          </w:p>
        </w:tc>
      </w:tr>
      <w:tr>
        <w:trPr>
          <w:cantSplit/>
        </w:trPr>
        <w:tc>
          <w:tcPr>
            <w:tcW w:type="dxa" w:w="3384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প্রয়োজনীয় গোপন প্রবেশাধিকার</w:t>
            </w:r>
          </w:p>
        </w:tc>
        <w:tc>
          <w:tcPr>
            <w:tcW w:type="dxa" w:w="6552"/>
            <w:vAlign w:val="center"/>
            <w:shd w:fill="FFFFFF"/>
          </w:tcPr>
          <w:p>
            <w:pPr>
              <w:spacing w:after="0" w:line="252" w:lineRule="auto"/>
            </w:pPr>
            <w:r>
              <w:rPr>
                <w:rFonts w:ascii="Nirmala UI" w:hAnsi="Nirmala UI" w:cs="Nirmala UI" w:eastAsia="Nirmala UI"/>
                <w:b w:val="0"/>
                <w:sz w:val="20"/>
                <w:szCs w:val="20"/>
                <w:lang w:val="bn-BD" w:bidi="bn-BD"/>
              </w:rPr>
              <w:t>শুধু অনুমোদিত নিরাপদ মাধ্যমে; এই নথির মধ্যে নয়</w:t>
            </w:r>
          </w:p>
        </w:tc>
      </w:tr>
    </w:tbl>
    <w:p>
      <w:pPr>
        <w:spacing w:after="0"/>
      </w:pPr>
    </w:p>
    <w:p>
      <w:r>
        <w:rPr>
          <w:b w:val="0"/>
        </w:rPr>
        <w:t>নতুন Hostinger deployment-এই কাজ চলবে। পুরোনো KVM 8 এবং অন্য প্রকল্পের সার্ভিসে পরিবর্তন করবেন না। Source-এর মূল Lovable বা Git ইতিহাসে সংযোগ এখনো সমন্বয় করা বাকি; প্রকাশিত history force-push করে বদলাবেন না।</w:t>
      </w:r>
    </w:p>
    <w:p>
      <w:pPr>
        <w:pStyle w:val="Heading2"/>
      </w:pPr>
      <w:r>
        <w:t>কাজ সম্পন্ন বলার আগে মিলিয়ে নিন</w:t>
      </w:r>
    </w:p>
    <w:p>
      <w:r>
        <w:rPr>
          <w:b w:val="0"/>
        </w:rPr>
        <w:t>□ দুই Owner-এর নিজস্ব login ও security ঠিক।</w:t>
        <w:br/>
        <w:t>□ মেইল plan, inbox, alias ও delivery পরীক্ষা হয়েছে।</w:t>
        <w:br/>
        <w:t>□ কর্মীর role এবং business তথ্য অনুমোদিত।</w:t>
        <w:br/>
        <w:t>□ বাস্তব catalogue ও প্রতিটি provider adapter পরীক্ষা হয়েছে।</w:t>
        <w:br/>
        <w:t>□ Checkout, payment, refund ও shipping-এর প্রমাণ আছে।</w:t>
        <w:br/>
        <w:t>□ ব্যবসার উপযোগী terms, privacy ও returns প্রকাশিত।</w:t>
        <w:br/>
        <w:t>□ Off-server backup, alert ও recovery দায়িত্ব নির্ধারিত।</w:t>
      </w:r>
    </w:p>
    <w:p>
      <w:pPr>
        <w:pStyle w:val="Heading2"/>
      </w:pPr>
      <w:r>
        <w:t>সহজ অর্থে কয়েকটি শব্দ</w:t>
      </w:r>
    </w:p>
    <w:p>
      <w:r>
        <w:rPr>
          <w:b w:val="0"/>
        </w:rPr>
        <w:t>Alias = মূল inbox-এর বিকল্প ঠিকানা। Vault = গোপন key-এর সুরক্ষিত ভান্ডার। Sandbox = provider-এর পরীক্ষার পরিবেশ। Webhook = provider থেকে অ্যাপে আসা event। Adapter = provider ও অ্যাপের মধ্যে কাজ করার code। Rollback = প্রয়োজনে আগের পরীক্ষিত release-এ ফেরার পরিকল্পনা।</w:t>
      </w:r>
    </w:p>
    <w:sectPr w:rsidR="00FC693F" w:rsidRPr="0006063C" w:rsidSect="00034616">
      <w:footerReference w:type="default" r:id="rId74"/>
      <w:pgSz w:w="11909" w:h="16834"/>
      <w:pgMar w:top="893" w:right="979" w:bottom="893" w:left="979" w:header="403" w:footer="403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right"/>
    </w:pPr>
    <w:r>
      <w:rPr>
        <w:rFonts w:ascii="Calibri" w:hAnsi="Calibri"/>
        <w:sz w:val="16"/>
      </w:rPr>
      <w:t xml:space="preserve">L Hazard Store | 28 September 2026 | </w:t>
    </w:r>
    <w:fldSimple w:instr="PAGE"/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264" w:lineRule="auto" w:after="120"/>
    </w:pPr>
    <w:rPr>
      <w:rFonts w:ascii="Nirmala UI" w:hAnsi="Nirmala UI" w:cs="Nirmala UI" w:eastAsia="Nirmala UI"/>
      <w:color w:val="000000"/>
      <w:sz w:val="22"/>
      <w:sz w:val="22"/>
      <w:szCs w:val="22"/>
      <w:lang w:val="bn-BD" w:bidi="bn-BD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180" w:after="120" w:line="264" w:lineRule="auto"/>
      <w:outlineLvl w:val="0"/>
    </w:pPr>
    <w:rPr>
      <w:rFonts w:asciiTheme="majorHAnsi" w:eastAsiaTheme="majorEastAsia" w:hAnsiTheme="majorHAnsi" w:cstheme="majorBidi" w:ascii="Nirmala UI" w:hAnsi="Nirmala UI" w:cs="Nirmala UI" w:eastAsia="Nirmala UI"/>
      <w:b/>
      <w:bCs/>
      <w:color w:val="000000"/>
      <w:sz w:val="36"/>
      <w:szCs w:val="28"/>
      <w:sz w:val="36"/>
      <w:szCs w:val="36"/>
      <w:lang w:val="bn-BD" w:bidi="bn-BD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180" w:after="120" w:line="264" w:lineRule="auto"/>
      <w:outlineLvl w:val="1"/>
    </w:pPr>
    <w:rPr>
      <w:rFonts w:asciiTheme="majorHAnsi" w:eastAsiaTheme="majorEastAsia" w:hAnsiTheme="majorHAnsi" w:cstheme="majorBidi" w:ascii="Nirmala UI" w:hAnsi="Nirmala UI" w:cs="Nirmala UI" w:eastAsia="Nirmala UI"/>
      <w:b/>
      <w:bCs/>
      <w:color w:val="000000"/>
      <w:sz w:val="26"/>
      <w:szCs w:val="26"/>
      <w:sz w:val="26"/>
      <w:szCs w:val="26"/>
      <w:lang w:val="bn-BD" w:bidi="bn-BD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180" w:after="120" w:line="264" w:lineRule="auto"/>
      <w:outlineLvl w:val="2"/>
    </w:pPr>
    <w:rPr>
      <w:rFonts w:asciiTheme="majorHAnsi" w:eastAsiaTheme="majorEastAsia" w:hAnsiTheme="majorHAnsi" w:cstheme="majorBidi" w:ascii="Nirmala UI" w:hAnsi="Nirmala UI" w:cs="Nirmala UI" w:eastAsia="Nirmala UI"/>
      <w:b/>
      <w:bCs/>
      <w:color w:val="000000"/>
      <w:sz w:val="22"/>
      <w:sz w:val="22"/>
      <w:szCs w:val="22"/>
      <w:lang w:val="bn-BD" w:bidi="bn-BD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spacing w:after="120" w:line="264" w:lineRule="auto"/>
      <w:contextualSpacing/>
    </w:pPr>
    <w:rPr>
      <w:rFonts w:asciiTheme="majorHAnsi" w:eastAsiaTheme="majorEastAsia" w:hAnsiTheme="majorHAnsi" w:cstheme="majorBidi" w:ascii="Nirmala UI" w:hAnsi="Nirmala UI" w:cs="Nirmala UI" w:eastAsia="Nirmala UI"/>
      <w:color w:val="000000"/>
      <w:spacing w:val="5"/>
      <w:kern w:val="28"/>
      <w:sz w:val="50"/>
      <w:szCs w:val="52"/>
      <w:sz w:val="50"/>
      <w:szCs w:val="50"/>
      <w:lang w:val="bn-BD" w:bidi="bn-BD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  <w:spacing w:line="264" w:lineRule="auto" w:after="120"/>
    </w:pPr>
    <w:rPr>
      <w:rFonts w:asciiTheme="majorHAnsi" w:eastAsiaTheme="majorEastAsia" w:hAnsiTheme="majorHAnsi" w:cstheme="majorBidi" w:ascii="Nirmala UI" w:hAnsi="Nirmala UI" w:cs="Nirmala UI" w:eastAsia="Nirmala UI"/>
      <w:i w:val="0"/>
      <w:iCs/>
      <w:color w:val="000000"/>
      <w:spacing w:val="15"/>
      <w:sz w:val="28"/>
      <w:szCs w:val="24"/>
      <w:sz w:val="28"/>
      <w:szCs w:val="28"/>
      <w:lang w:val="bn-BD" w:bidi="bn-BD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hyperlink" Target="https://lhazardltd.com" TargetMode="External"/><Relationship Id="rId10" Type="http://schemas.openxmlformats.org/officeDocument/2006/relationships/hyperlink" Target="https://lhazardstore.com" TargetMode="External"/><Relationship Id="rId11" Type="http://schemas.openxmlformats.org/officeDocument/2006/relationships/hyperlink" Target="https://www.lhazardstore.com" TargetMode="External"/><Relationship Id="rId12" Type="http://schemas.openxmlformats.org/officeDocument/2006/relationships/hyperlink" Target="https://lhazardstore.com/auth" TargetMode="External"/><Relationship Id="rId13" Type="http://schemas.openxmlformats.org/officeDocument/2006/relationships/hyperlink" Target="https://lhazardstore.com/#catalogue" TargetMode="External"/><Relationship Id="rId14" Type="http://schemas.openxmlformats.org/officeDocument/2006/relationships/hyperlink" Target="https://lhazardstore.com/rfqs" TargetMode="External"/><Relationship Id="rId15" Type="http://schemas.openxmlformats.org/officeDocument/2006/relationships/hyperlink" Target="https://lhazardstore.com/retail" TargetMode="External"/><Relationship Id="rId16" Type="http://schemas.openxmlformats.org/officeDocument/2006/relationships/hyperlink" Target="https://lhazardstore.com/portal" TargetMode="External"/><Relationship Id="rId17" Type="http://schemas.openxmlformats.org/officeDocument/2006/relationships/hyperlink" Target="https://lhazardstore.com/about" TargetMode="External"/><Relationship Id="rId18" Type="http://schemas.openxmlformats.org/officeDocument/2006/relationships/hyperlink" Target="https://lhazardstore.com/about#founder" TargetMode="External"/><Relationship Id="rId19" Type="http://schemas.openxmlformats.org/officeDocument/2006/relationships/hyperlink" Target="https://lhazardstore.com/contact" TargetMode="External"/><Relationship Id="rId20" Type="http://schemas.openxmlformats.org/officeDocument/2006/relationships/hyperlink" Target="https://lhazardstore.com/contact?department=partners" TargetMode="External"/><Relationship Id="rId21" Type="http://schemas.openxmlformats.org/officeDocument/2006/relationships/hyperlink" Target="https://lhazardstore.com/terms" TargetMode="External"/><Relationship Id="rId22" Type="http://schemas.openxmlformats.org/officeDocument/2006/relationships/hyperlink" Target="https://lhazardstore.com/privacy" TargetMode="External"/><Relationship Id="rId23" Type="http://schemas.openxmlformats.org/officeDocument/2006/relationships/hyperlink" Target="https://lhazardstore.com/returns" TargetMode="External"/><Relationship Id="rId24" Type="http://schemas.openxmlformats.org/officeDocument/2006/relationships/hyperlink" Target="https://lhazardstore.com/cookies" TargetMode="External"/><Relationship Id="rId25" Type="http://schemas.openxmlformats.org/officeDocument/2006/relationships/hyperlink" Target="https://lhazardstore.com/accessibility" TargetMode="External"/><Relationship Id="rId26" Type="http://schemas.openxmlformats.org/officeDocument/2006/relationships/hyperlink" Target="https://lhazardstore.com/sitemap" TargetMode="External"/><Relationship Id="rId27" Type="http://schemas.openxmlformats.org/officeDocument/2006/relationships/hyperlink" Target="https://ceo.lhazardstore.com/executive" TargetMode="External"/><Relationship Id="rId28" Type="http://schemas.openxmlformats.org/officeDocument/2006/relationships/hyperlink" Target="https://ceo.lhazardstore.com/executive/global" TargetMode="External"/><Relationship Id="rId29" Type="http://schemas.openxmlformats.org/officeDocument/2006/relationships/hyperlink" Target="https://lhazardstore.com/executive/accounts" TargetMode="External"/><Relationship Id="rId30" Type="http://schemas.openxmlformats.org/officeDocument/2006/relationships/hyperlink" Target="https://ceo.lhazardstore.com/executive/payment-partners" TargetMode="External"/><Relationship Id="rId31" Type="http://schemas.openxmlformats.org/officeDocument/2006/relationships/hyperlink" Target="https://ceo.lhazardstore.com/executive/logistics-partners" TargetMode="External"/><Relationship Id="rId32" Type="http://schemas.openxmlformats.org/officeDocument/2006/relationships/hyperlink" Target="https://ceo.lhazardstore.com/executive/commerce-partners" TargetMode="External"/><Relationship Id="rId33" Type="http://schemas.openxmlformats.org/officeDocument/2006/relationships/hyperlink" Target="https://lhazardstore.com/account-security" TargetMode="External"/><Relationship Id="rId34" Type="http://schemas.openxmlformats.org/officeDocument/2006/relationships/hyperlink" Target="https://admin.lhazardstore.com/console/global" TargetMode="External"/><Relationship Id="rId35" Type="http://schemas.openxmlformats.org/officeDocument/2006/relationships/hyperlink" Target="https://admin.lhazardstore.com/console" TargetMode="External"/><Relationship Id="rId36" Type="http://schemas.openxmlformats.org/officeDocument/2006/relationships/hyperlink" Target="https://admin.lhazardstore.com/console/rfqs" TargetMode="External"/><Relationship Id="rId37" Type="http://schemas.openxmlformats.org/officeDocument/2006/relationships/hyperlink" Target="https://admin.lhazardstore.com/console/admissions" TargetMode="External"/><Relationship Id="rId38" Type="http://schemas.openxmlformats.org/officeDocument/2006/relationships/hyperlink" Target="https://admin.lhazardstore.com/console/suppliers" TargetMode="External"/><Relationship Id="rId39" Type="http://schemas.openxmlformats.org/officeDocument/2006/relationships/hyperlink" Target="https://admin.lhazardstore.com/console/sellers" TargetMode="External"/><Relationship Id="rId40" Type="http://schemas.openxmlformats.org/officeDocument/2006/relationships/hyperlink" Target="https://admin.lhazardstore.com/console/buyers" TargetMode="External"/><Relationship Id="rId41" Type="http://schemas.openxmlformats.org/officeDocument/2006/relationships/hyperlink" Target="https://admin.lhazardstore.com/console/compliance" TargetMode="External"/><Relationship Id="rId42" Type="http://schemas.openxmlformats.org/officeDocument/2006/relationships/hyperlink" Target="https://admin.lhazardstore.com/console/products" TargetMode="External"/><Relationship Id="rId43" Type="http://schemas.openxmlformats.org/officeDocument/2006/relationships/hyperlink" Target="https://admin.lhazardstore.com/console/incidents" TargetMode="External"/><Relationship Id="rId44" Type="http://schemas.openxmlformats.org/officeDocument/2006/relationships/hyperlink" Target="https://admin.lhazardstore.com/console/orders" TargetMode="External"/><Relationship Id="rId45" Type="http://schemas.openxmlformats.org/officeDocument/2006/relationships/hyperlink" Target="https://admin.lhazardstore.com/console/sub-orders" TargetMode="External"/><Relationship Id="rId46" Type="http://schemas.openxmlformats.org/officeDocument/2006/relationships/hyperlink" Target="https://admin.lhazardstore.com/console/payments" TargetMode="External"/><Relationship Id="rId47" Type="http://schemas.openxmlformats.org/officeDocument/2006/relationships/hyperlink" Target="https://admin.lhazardstore.com/console/shipping" TargetMode="External"/><Relationship Id="rId48" Type="http://schemas.openxmlformats.org/officeDocument/2006/relationships/hyperlink" Target="https://admin.lhazardstore.com/console/returns" TargetMode="External"/><Relationship Id="rId49" Type="http://schemas.openxmlformats.org/officeDocument/2006/relationships/hyperlink" Target="https://admin.lhazardstore.com/console/refunds" TargetMode="External"/><Relationship Id="rId50" Type="http://schemas.openxmlformats.org/officeDocument/2006/relationships/hyperlink" Target="https://admin.lhazardstore.com/console/disputes" TargetMode="External"/><Relationship Id="rId51" Type="http://schemas.openxmlformats.org/officeDocument/2006/relationships/hyperlink" Target="https://admin.lhazardstore.com/console/tax" TargetMode="External"/><Relationship Id="rId52" Type="http://schemas.openxmlformats.org/officeDocument/2006/relationships/hyperlink" Target="https://admin.lhazardstore.com/console/payment-partners" TargetMode="External"/><Relationship Id="rId53" Type="http://schemas.openxmlformats.org/officeDocument/2006/relationships/hyperlink" Target="https://admin.lhazardstore.com/console/logistics-partners" TargetMode="External"/><Relationship Id="rId54" Type="http://schemas.openxmlformats.org/officeDocument/2006/relationships/hyperlink" Target="https://admin.lhazardstore.com/console/commerce-partners" TargetMode="External"/><Relationship Id="rId55" Type="http://schemas.openxmlformats.org/officeDocument/2006/relationships/hyperlink" Target="https://admin.lhazardstore.com/console/markets" TargetMode="External"/><Relationship Id="rId56" Type="http://schemas.openxmlformats.org/officeDocument/2006/relationships/hyperlink" Target="https://admin.lhazardstore.com/console/integrations" TargetMode="External"/><Relationship Id="rId57" Type="http://schemas.openxmlformats.org/officeDocument/2006/relationships/hyperlink" Target="https://admin.lhazardstore.com/console/controls" TargetMode="External"/><Relationship Id="rId58" Type="http://schemas.openxmlformats.org/officeDocument/2006/relationships/hyperlink" Target="https://admin.lhazardstore.com/console/webhooks" TargetMode="External"/><Relationship Id="rId59" Type="http://schemas.openxmlformats.org/officeDocument/2006/relationships/hyperlink" Target="https://admin.lhazardstore.com/console/security" TargetMode="External"/><Relationship Id="rId60" Type="http://schemas.openxmlformats.org/officeDocument/2006/relationships/hyperlink" Target="https://admin.lhazardstore.com/console/deployment" TargetMode="External"/><Relationship Id="rId61" Type="http://schemas.openxmlformats.org/officeDocument/2006/relationships/hyperlink" Target="https://admin.lhazardstore.com/console/register" TargetMode="External"/><Relationship Id="rId62" Type="http://schemas.openxmlformats.org/officeDocument/2006/relationships/hyperlink" Target="https://admin.lhazardstore.com/console/evidence" TargetMode="External"/><Relationship Id="rId63" Type="http://schemas.openxmlformats.org/officeDocument/2006/relationships/hyperlink" Target="https://admin.lhazardstore.com/console/uat" TargetMode="External"/><Relationship Id="rId64" Type="http://schemas.openxmlformats.org/officeDocument/2006/relationships/hyperlink" Target="https://admin.lhazardstore.com/console/blockers" TargetMode="External"/><Relationship Id="rId65" Type="http://schemas.openxmlformats.org/officeDocument/2006/relationships/hyperlink" Target="https://admin.lhazardstore.com/console/audit" TargetMode="External"/><Relationship Id="rId66" Type="http://schemas.openxmlformats.org/officeDocument/2006/relationships/hyperlink" Target="https://mail.hostinger.com" TargetMode="External"/><Relationship Id="rId67" Type="http://schemas.openxmlformats.org/officeDocument/2006/relationships/hyperlink" Target="https://hpanel.hostinger.com" TargetMode="External"/><Relationship Id="rId68" Type="http://schemas.openxmlformats.org/officeDocument/2006/relationships/hyperlink" Target="https://hpanel.hostinger.com/email/lhazardstore.com/accounts" TargetMode="External"/><Relationship Id="rId69" Type="http://schemas.openxmlformats.org/officeDocument/2006/relationships/hyperlink" Target="https://panel.lhazardstore.com" TargetMode="External"/><Relationship Id="rId70" Type="http://schemas.openxmlformats.org/officeDocument/2006/relationships/hyperlink" Target="https://platform.openai.com" TargetMode="External"/><Relationship Id="rId71" Type="http://schemas.openxmlformats.org/officeDocument/2006/relationships/hyperlink" Target="https://platform.openai.com/api-keys" TargetMode="External"/><Relationship Id="rId72" Type="http://schemas.openxmlformats.org/officeDocument/2006/relationships/hyperlink" Target="https://platform.openai.com/settings/organization/billing/overview" TargetMode="External"/><Relationship Id="rId73" Type="http://schemas.openxmlformats.org/officeDocument/2006/relationships/hyperlink" Target="https://api.lhazardstore.com" TargetMode="External"/><Relationship Id="rId7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L Hazard Store পরিচালনা ও পরবর্তী কাজের নির্দেশিকা</dc:title>
  <dc:subject>ওয়েবসাইট প্যানেল ইমেইল API ও দায়িত্বের পূর্ণাঙ্গ বাংলা নির্দেশিকা</dc:subject>
  <dc:creator>L Hazard Store</dc:creator>
  <cp:keywords>বাংলা, পরিচালনা, Admin, CEO, API, email, handover</cp:keywords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